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rPr>
      </w:pPr>
      <w:r>
        <w:rPr>
          <w:rFonts w:hint="eastAsia" w:ascii="黑体" w:hAnsi="宋体" w:eastAsia="黑体" w:cs="黑体"/>
        </w:rPr>
        <w:t>附件</w:t>
      </w:r>
      <w:r>
        <w:rPr>
          <w:rFonts w:ascii="黑体" w:hAnsi="宋体" w:eastAsia="黑体" w:cs="黑体"/>
        </w:rPr>
        <w:t>4</w:t>
      </w:r>
    </w:p>
    <w:p>
      <w:pPr>
        <w:jc w:val="center"/>
        <w:rPr>
          <w:rFonts w:ascii="方正小标宋简体" w:hAnsi="宋体" w:eastAsia="方正小标宋简体"/>
        </w:rPr>
      </w:pPr>
      <w:r>
        <w:rPr>
          <w:rFonts w:hint="eastAsia" w:ascii="黑体" w:hAnsi="宋体" w:eastAsia="黑体" w:cs="黑体"/>
        </w:rPr>
        <w:t>地理标志产品抚顺林下参</w:t>
      </w:r>
      <w:r>
        <w:rPr>
          <w:rFonts w:hint="eastAsia" w:ascii="方正小标宋简体" w:hAnsi="宋体" w:eastAsia="方正小标宋简体" w:cs="方正小标宋简体"/>
        </w:rPr>
        <w:t>地方标准修订编制说明</w:t>
      </w:r>
    </w:p>
    <w:p>
      <w:pPr>
        <w:jc w:val="center"/>
        <w:rPr>
          <w:rFonts w:ascii="宋体" w:hAnsi="宋体" w:eastAsia="宋体"/>
          <w:sz w:val="30"/>
          <w:szCs w:val="30"/>
        </w:rPr>
      </w:pPr>
    </w:p>
    <w:p>
      <w:pPr>
        <w:ind w:firstLine="640" w:firstLineChars="200"/>
        <w:rPr>
          <w:rFonts w:ascii="黑体" w:hAnsi="黑体" w:eastAsia="黑体"/>
        </w:rPr>
      </w:pPr>
      <w:r>
        <w:rPr>
          <w:rFonts w:hint="eastAsia" w:ascii="黑体" w:hAnsi="黑体" w:eastAsia="黑体" w:cs="黑体"/>
        </w:rPr>
        <w:t>（一）工作简介</w:t>
      </w:r>
    </w:p>
    <w:p>
      <w:pPr>
        <w:ind w:firstLine="642" w:firstLineChars="200"/>
        <w:rPr>
          <w:rFonts w:ascii="仿宋_GB2312" w:hAnsi="宋体"/>
          <w:b/>
          <w:bCs/>
        </w:rPr>
      </w:pPr>
      <w:r>
        <w:rPr>
          <w:rFonts w:ascii="仿宋_GB2312" w:hAnsi="宋体" w:cs="仿宋_GB2312"/>
          <w:b/>
          <w:bCs/>
        </w:rPr>
        <w:t>1.</w:t>
      </w:r>
      <w:r>
        <w:rPr>
          <w:rFonts w:hint="eastAsia" w:ascii="仿宋_GB2312" w:hAnsi="宋体" w:cs="仿宋_GB2312"/>
          <w:b/>
          <w:bCs/>
        </w:rPr>
        <w:t>任务来源</w:t>
      </w:r>
    </w:p>
    <w:p>
      <w:pPr>
        <w:ind w:firstLine="640" w:firstLineChars="200"/>
        <w:rPr>
          <w:rFonts w:ascii="仿宋_GB2312" w:hAnsi="Calibri"/>
        </w:rPr>
      </w:pPr>
      <w:r>
        <w:rPr>
          <w:rFonts w:hint="eastAsia" w:ascii="仿宋_GB2312" w:hAnsi="Calibri"/>
        </w:rPr>
        <w:t>确定抚顺市地方标准《地理标志产品 抚顺林下参》的标准主要内容的依据：按照《标准化工作导则  第1部分：标准化文件的结构和起草规则》（GB/T 1.1-2020）、《地理标志产品标准通用要求》（GB/T 17924-2008）编写。地理标志产品保护范围限于国家质量监督检验检疫行政主管部门根据《地理标志产品保护规定》批准保护的范围。</w:t>
      </w:r>
    </w:p>
    <w:p>
      <w:pPr>
        <w:ind w:firstLine="642" w:firstLineChars="200"/>
        <w:rPr>
          <w:rFonts w:ascii="仿宋_GB2312" w:hAnsi="宋体"/>
          <w:b/>
          <w:bCs/>
        </w:rPr>
      </w:pPr>
      <w:r>
        <w:rPr>
          <w:rFonts w:ascii="仿宋_GB2312" w:hAnsi="宋体" w:cs="仿宋_GB2312"/>
          <w:b/>
          <w:bCs/>
        </w:rPr>
        <w:t>2.</w:t>
      </w:r>
      <w:r>
        <w:rPr>
          <w:rFonts w:hint="eastAsia" w:ascii="仿宋_GB2312" w:hAnsi="宋体" w:cs="仿宋_GB2312"/>
          <w:b/>
          <w:bCs/>
        </w:rPr>
        <w:t>标准修订编制单位</w:t>
      </w:r>
    </w:p>
    <w:p>
      <w:pPr>
        <w:ind w:firstLine="640" w:firstLineChars="200"/>
        <w:rPr>
          <w:rFonts w:ascii="仿宋_GB2312" w:hAnsi="宋体"/>
        </w:rPr>
      </w:pPr>
      <w:r>
        <w:rPr>
          <w:rFonts w:hint="eastAsia" w:ascii="仿宋_GB2312" w:hAnsi="宋体" w:cs="仿宋_GB2312"/>
        </w:rPr>
        <w:t>本标准由抚顺市农业农村局提出并归口管理。抚顺市检验检测认证中心负责修订。</w:t>
      </w:r>
    </w:p>
    <w:p>
      <w:pPr>
        <w:spacing w:line="460" w:lineRule="exact"/>
        <w:ind w:firstLine="642" w:firstLineChars="200"/>
        <w:rPr>
          <w:rFonts w:ascii="仿宋_GB2312"/>
          <w:b/>
          <w:bCs/>
        </w:rPr>
      </w:pPr>
      <w:r>
        <w:rPr>
          <w:rFonts w:ascii="仿宋_GB2312" w:cs="仿宋_GB2312"/>
          <w:b/>
          <w:bCs/>
        </w:rPr>
        <w:t>3.</w:t>
      </w:r>
      <w:r>
        <w:rPr>
          <w:rFonts w:hint="eastAsia" w:ascii="仿宋_GB2312" w:cs="仿宋_GB2312"/>
          <w:b/>
          <w:bCs/>
        </w:rPr>
        <w:t>主要修订人</w:t>
      </w:r>
    </w:p>
    <w:p>
      <w:pPr>
        <w:ind w:firstLine="640" w:firstLineChars="200"/>
        <w:rPr>
          <w:rFonts w:ascii="黑体" w:hAnsi="黑体" w:eastAsia="黑体"/>
        </w:rPr>
      </w:pPr>
      <w:r>
        <w:rPr>
          <w:rFonts w:hint="eastAsia" w:ascii="黑体" w:hAnsi="黑体" w:eastAsia="黑体"/>
        </w:rPr>
        <w:t>XXX、XXX</w:t>
      </w:r>
    </w:p>
    <w:p>
      <w:pPr>
        <w:ind w:firstLine="640" w:firstLineChars="200"/>
        <w:rPr>
          <w:rFonts w:ascii="黑体" w:hAnsi="黑体" w:eastAsia="黑体" w:cs="黑体"/>
        </w:rPr>
      </w:pPr>
      <w:r>
        <w:rPr>
          <w:rFonts w:hint="eastAsia" w:ascii="黑体" w:hAnsi="黑体" w:eastAsia="黑体" w:cs="黑体"/>
        </w:rPr>
        <w:t>（二）标准编制修订的必要性与意义</w:t>
      </w:r>
    </w:p>
    <w:p>
      <w:pPr>
        <w:ind w:firstLine="640" w:firstLineChars="200"/>
        <w:rPr>
          <w:rFonts w:ascii="仿宋_GB2312" w:hAnsi="宋体" w:cs="仿宋_GB2312"/>
        </w:rPr>
      </w:pPr>
      <w:r>
        <w:rPr>
          <w:rFonts w:hint="eastAsia" w:ascii="仿宋_GB2312" w:hAnsi="宋体" w:cs="仿宋_GB2312"/>
        </w:rPr>
        <w:t>据抚顺县志（中华民国十四年卷十三）物产篇记载：“人参初夏得者曰芽参，花时得者曰尕子，霜后得者曰黄参。其味温可已疠补气，药产极品，须、叶、实、根均可入药。”抚顺是人参主要产地之一，人参为本地原产物产。上个世纪80年代初期，参农意识到野山参的稀缺，并对培育人参进行研究，选择优质种子，将其种植在野生环境中，不需要人为干预，任其自由生长。随着国家大力推动生态建设，使抚顺林下人参种植业逐步走上规范化、标准化。商业用参产量与日俱增，林下山参产业已经成为发展抚顺农村经济的重要途径。</w:t>
      </w:r>
    </w:p>
    <w:p>
      <w:pPr>
        <w:pStyle w:val="13"/>
        <w:ind w:firstLine="640"/>
        <w:rPr>
          <w:rFonts w:ascii="仿宋_GB2312" w:hAnsi="宋体" w:eastAsia="仿宋_GB2312"/>
          <w:kern w:val="2"/>
          <w:sz w:val="32"/>
          <w:szCs w:val="32"/>
        </w:rPr>
      </w:pPr>
      <w:r>
        <w:rPr>
          <w:rFonts w:hint="eastAsia" w:ascii="仿宋_GB2312" w:hAnsi="宋体" w:eastAsia="仿宋_GB2312" w:cs="仿宋_GB2312"/>
          <w:kern w:val="2"/>
          <w:sz w:val="32"/>
          <w:szCs w:val="32"/>
        </w:rPr>
        <w:t>随着产品质量和检测水平的不断提升及检测方法的更新，一些理化及卫生指标限量也应该随着产品进行相应调整。该标准的修订</w:t>
      </w:r>
      <w:r>
        <w:rPr>
          <w:rFonts w:hint="eastAsia" w:ascii="仿宋_GB2312" w:hAnsi="宋体" w:eastAsia="仿宋_GB2312" w:cs="仿宋_GB2312"/>
          <w:color w:val="auto"/>
          <w:kern w:val="2"/>
          <w:sz w:val="32"/>
          <w:szCs w:val="32"/>
        </w:rPr>
        <w:t>，可规范抚顺市林下参市场经营者，按照本标准的各项指标生产加工林下参，可提高林下参质量。</w:t>
      </w:r>
    </w:p>
    <w:p>
      <w:pPr>
        <w:ind w:firstLine="640" w:firstLineChars="200"/>
        <w:rPr>
          <w:rFonts w:ascii="黑体" w:hAnsi="黑体" w:eastAsia="黑体"/>
        </w:rPr>
      </w:pPr>
      <w:r>
        <w:rPr>
          <w:rFonts w:hint="eastAsia" w:ascii="黑体" w:hAnsi="黑体" w:eastAsia="黑体" w:cs="黑体"/>
        </w:rPr>
        <w:t>（三）标准编制修订原则</w:t>
      </w:r>
    </w:p>
    <w:p>
      <w:pPr>
        <w:pStyle w:val="13"/>
        <w:ind w:firstLine="640"/>
        <w:rPr>
          <w:rFonts w:ascii="仿宋_GB2312" w:hAnsi="宋体" w:eastAsia="仿宋_GB2312" w:cs="仿宋_GB2312"/>
          <w:kern w:val="2"/>
          <w:sz w:val="32"/>
          <w:szCs w:val="32"/>
        </w:rPr>
      </w:pPr>
      <w:r>
        <w:rPr>
          <w:rFonts w:hint="eastAsia" w:ascii="仿宋_GB2312" w:hAnsi="宋体" w:eastAsia="仿宋_GB2312" w:cs="仿宋_GB2312"/>
          <w:kern w:val="2"/>
          <w:sz w:val="32"/>
          <w:szCs w:val="32"/>
        </w:rPr>
        <w:t>本标准修订遵照GB/T 1.1—2020《标准化工作导则第1部分：标准化文件的结构和起草规则》的规定执行。本标准修订过程中严格遵循以下原则：</w:t>
      </w:r>
    </w:p>
    <w:p>
      <w:pPr>
        <w:ind w:firstLine="642" w:firstLineChars="200"/>
        <w:rPr>
          <w:rFonts w:ascii="仿宋_GB2312" w:hAnsi="宋体" w:cs="仿宋_GB2312"/>
          <w:b/>
          <w:bCs/>
        </w:rPr>
      </w:pPr>
      <w:r>
        <w:rPr>
          <w:rFonts w:hint="eastAsia" w:ascii="仿宋_GB2312" w:hAnsi="宋体" w:cs="仿宋_GB2312"/>
          <w:b/>
          <w:bCs/>
        </w:rPr>
        <w:t>1.符合性原则</w:t>
      </w:r>
    </w:p>
    <w:p>
      <w:pPr>
        <w:pStyle w:val="13"/>
        <w:ind w:firstLine="640"/>
        <w:rPr>
          <w:rFonts w:ascii="仿宋_GB2312" w:hAnsi="宋体" w:eastAsia="仿宋_GB2312" w:cs="仿宋_GB2312"/>
          <w:kern w:val="2"/>
          <w:sz w:val="32"/>
          <w:szCs w:val="32"/>
        </w:rPr>
      </w:pPr>
      <w:r>
        <w:rPr>
          <w:rFonts w:hint="eastAsia" w:ascii="仿宋_GB2312" w:hAnsi="宋体" w:eastAsia="仿宋_GB2312" w:cs="仿宋_GB2312"/>
          <w:kern w:val="2"/>
          <w:sz w:val="32"/>
          <w:szCs w:val="32"/>
        </w:rPr>
        <w:t>本标准以现有的国内行业标准和地方标准等有关资料为基础。</w:t>
      </w:r>
    </w:p>
    <w:p>
      <w:pPr>
        <w:ind w:firstLine="642" w:firstLineChars="200"/>
        <w:rPr>
          <w:rFonts w:ascii="仿宋_GB2312" w:hAnsi="宋体" w:cs="仿宋_GB2312"/>
          <w:b/>
          <w:bCs/>
        </w:rPr>
      </w:pPr>
      <w:r>
        <w:rPr>
          <w:rFonts w:hint="eastAsia" w:ascii="仿宋_GB2312" w:hAnsi="宋体" w:cs="仿宋_GB2312"/>
          <w:b/>
          <w:bCs/>
        </w:rPr>
        <w:t>2.协调性原则</w:t>
      </w:r>
    </w:p>
    <w:p>
      <w:pPr>
        <w:pStyle w:val="13"/>
        <w:ind w:firstLine="640"/>
        <w:rPr>
          <w:rFonts w:ascii="仿宋_GB2312" w:hAnsi="宋体" w:eastAsia="仿宋_GB2312"/>
          <w:kern w:val="2"/>
          <w:sz w:val="32"/>
          <w:szCs w:val="32"/>
        </w:rPr>
      </w:pPr>
      <w:r>
        <w:rPr>
          <w:rFonts w:hint="eastAsia" w:ascii="仿宋_GB2312" w:hAnsi="宋体" w:eastAsia="仿宋_GB2312" w:cs="仿宋_GB2312"/>
          <w:kern w:val="2"/>
          <w:sz w:val="32"/>
          <w:szCs w:val="32"/>
        </w:rPr>
        <w:t>在修订过程中，凡国家现行的行业标准及地方标准以及质量安全要求已有规定的，本标准力求与其保持一致，力求使本标准有一定的先进性、通用性和可操作性。</w:t>
      </w:r>
    </w:p>
    <w:p>
      <w:pPr>
        <w:ind w:firstLine="642" w:firstLineChars="200"/>
        <w:rPr>
          <w:rFonts w:ascii="仿宋_GB2312" w:hAnsi="宋体" w:cs="仿宋_GB2312"/>
          <w:b/>
          <w:bCs/>
        </w:rPr>
      </w:pPr>
      <w:r>
        <w:rPr>
          <w:rFonts w:hint="eastAsia" w:ascii="仿宋_GB2312" w:hAnsi="宋体" w:cs="仿宋_GB2312"/>
          <w:b/>
          <w:bCs/>
        </w:rPr>
        <w:t>3.科学性和适用性原则</w:t>
      </w:r>
    </w:p>
    <w:p>
      <w:pPr>
        <w:pStyle w:val="13"/>
        <w:ind w:firstLine="640"/>
        <w:rPr>
          <w:rFonts w:ascii="仿宋_GB2312" w:hAnsi="宋体" w:eastAsia="仿宋_GB2312"/>
          <w:kern w:val="2"/>
          <w:sz w:val="32"/>
          <w:szCs w:val="32"/>
        </w:rPr>
      </w:pPr>
      <w:r>
        <w:rPr>
          <w:rFonts w:hint="eastAsia" w:ascii="仿宋_GB2312" w:hAnsi="宋体" w:eastAsia="仿宋_GB2312" w:cs="仿宋_GB2312"/>
          <w:kern w:val="2"/>
          <w:sz w:val="32"/>
          <w:szCs w:val="32"/>
        </w:rPr>
        <w:t>充分考</w:t>
      </w:r>
      <w:r>
        <w:rPr>
          <w:rFonts w:hint="eastAsia" w:ascii="仿宋_GB2312" w:hAnsi="宋体" w:eastAsia="仿宋_GB2312" w:cs="仿宋_GB2312"/>
          <w:color w:val="auto"/>
          <w:kern w:val="2"/>
          <w:sz w:val="32"/>
          <w:szCs w:val="32"/>
        </w:rPr>
        <w:t>虑抚顺林下参企业的实际情况。</w:t>
      </w:r>
    </w:p>
    <w:p>
      <w:pPr>
        <w:ind w:firstLine="640" w:firstLineChars="200"/>
        <w:rPr>
          <w:rFonts w:ascii="黑体" w:hAnsi="黑体" w:eastAsia="黑体"/>
        </w:rPr>
      </w:pPr>
      <w:r>
        <w:rPr>
          <w:rFonts w:hint="eastAsia" w:ascii="黑体" w:hAnsi="黑体" w:eastAsia="黑体" w:cs="黑体"/>
        </w:rPr>
        <w:t>（四）标准条文说明</w:t>
      </w:r>
    </w:p>
    <w:p>
      <w:pPr>
        <w:ind w:firstLine="645"/>
        <w:rPr>
          <w:rFonts w:ascii="仿宋_GB2312" w:hAnsi="宋体"/>
          <w:b/>
          <w:bCs/>
        </w:rPr>
      </w:pPr>
      <w:r>
        <w:rPr>
          <w:rFonts w:hint="eastAsia" w:ascii="仿宋_GB2312" w:hAnsi="宋体" w:cs="仿宋_GB2312"/>
          <w:b/>
          <w:bCs/>
        </w:rPr>
        <w:t>1</w:t>
      </w:r>
      <w:r>
        <w:rPr>
          <w:rFonts w:ascii="仿宋_GB2312" w:hAnsi="宋体" w:cs="仿宋_GB2312"/>
          <w:b/>
          <w:bCs/>
        </w:rPr>
        <w:t>.</w:t>
      </w:r>
      <w:r>
        <w:rPr>
          <w:rFonts w:hint="eastAsia" w:ascii="仿宋_GB2312" w:hAnsi="宋体" w:cs="仿宋_GB2312"/>
          <w:b/>
          <w:bCs/>
        </w:rPr>
        <w:t>标准的适用范围</w:t>
      </w:r>
    </w:p>
    <w:p>
      <w:pPr>
        <w:ind w:firstLine="640" w:firstLineChars="200"/>
      </w:pPr>
      <w:r>
        <w:rPr>
          <w:rFonts w:hint="eastAsia"/>
        </w:rPr>
        <w:t>本标准规定了地理标志产品抚顺</w:t>
      </w:r>
      <w:r>
        <w:rPr>
          <w:rFonts w:hint="eastAsia" w:ascii="仿宋_GB2312" w:hAnsi="宋体" w:cs="仿宋_GB2312"/>
        </w:rPr>
        <w:t>林下</w:t>
      </w:r>
      <w:r>
        <w:rPr>
          <w:rFonts w:hint="eastAsia" w:ascii="仿宋_GB2312" w:hAnsi="宋体" w:cs="仿宋_GB2312"/>
          <w:color w:val="auto"/>
        </w:rPr>
        <w:t>参</w:t>
      </w:r>
      <w:r>
        <w:rPr>
          <w:rFonts w:hint="eastAsia"/>
          <w:color w:val="auto"/>
        </w:rPr>
        <w:t>的术语和定义、地理标志产品保护范围、要求、标志标签、运输等方面的</w:t>
      </w:r>
      <w:r>
        <w:rPr>
          <w:rFonts w:hint="eastAsia"/>
        </w:rPr>
        <w:t>要求。</w:t>
      </w:r>
    </w:p>
    <w:p>
      <w:pPr>
        <w:pStyle w:val="13"/>
        <w:ind w:firstLine="640"/>
        <w:rPr>
          <w:rFonts w:ascii="仿宋_GB2312" w:hAnsi="宋体" w:eastAsia="仿宋_GB2312" w:cs="仿宋_GB2312"/>
          <w:b/>
          <w:bCs/>
          <w:kern w:val="2"/>
          <w:sz w:val="32"/>
          <w:szCs w:val="32"/>
        </w:rPr>
      </w:pPr>
      <w:r>
        <w:rPr>
          <w:rFonts w:hint="eastAsia" w:ascii="仿宋_GB2312" w:hAnsi="宋体" w:eastAsia="仿宋_GB2312" w:cs="仿宋_GB2312"/>
          <w:kern w:val="2"/>
          <w:sz w:val="32"/>
          <w:szCs w:val="32"/>
        </w:rPr>
        <w:t>2.</w:t>
      </w:r>
      <w:r>
        <w:rPr>
          <w:rFonts w:hint="eastAsia" w:ascii="仿宋_GB2312" w:hAnsi="宋体" w:eastAsia="仿宋_GB2312" w:cs="仿宋_GB2312"/>
          <w:b/>
          <w:bCs/>
          <w:kern w:val="2"/>
          <w:sz w:val="32"/>
          <w:szCs w:val="32"/>
        </w:rPr>
        <w:t>修改的主要内容</w:t>
      </w:r>
    </w:p>
    <w:p>
      <w:pPr>
        <w:pStyle w:val="13"/>
        <w:ind w:firstLine="640"/>
        <w:rPr>
          <w:rFonts w:ascii="Times New Roman" w:eastAsia="仿宋_GB2312"/>
          <w:kern w:val="2"/>
          <w:sz w:val="32"/>
          <w:szCs w:val="32"/>
        </w:rPr>
      </w:pPr>
      <w:r>
        <w:rPr>
          <w:rFonts w:hint="eastAsia" w:ascii="Times New Roman" w:eastAsia="仿宋_GB2312"/>
          <w:kern w:val="2"/>
          <w:sz w:val="32"/>
          <w:szCs w:val="32"/>
        </w:rPr>
        <w:t>（1）根据标准GB/T 17924-2008《地理标志产品 标准通用要求》中的规定，将原标准第1章的范围拆分为范围和地理标志保护范围两章；</w:t>
      </w:r>
    </w:p>
    <w:p>
      <w:pPr>
        <w:pStyle w:val="13"/>
        <w:ind w:firstLine="640"/>
        <w:rPr>
          <w:rFonts w:ascii="Times New Roman" w:eastAsia="仿宋_GB2312"/>
          <w:kern w:val="2"/>
          <w:sz w:val="32"/>
          <w:szCs w:val="32"/>
        </w:rPr>
      </w:pPr>
      <w:r>
        <w:rPr>
          <w:rFonts w:hint="eastAsia" w:ascii="Times New Roman" w:eastAsia="仿宋_GB2312"/>
          <w:kern w:val="2"/>
          <w:sz w:val="32"/>
          <w:szCs w:val="32"/>
        </w:rPr>
        <w:t>（2）增加了有关专利的说明；</w:t>
      </w:r>
    </w:p>
    <w:p>
      <w:pPr>
        <w:pStyle w:val="13"/>
        <w:ind w:firstLine="640"/>
        <w:rPr>
          <w:rFonts w:ascii="Times New Roman" w:eastAsia="仿宋_GB2312"/>
          <w:kern w:val="2"/>
          <w:sz w:val="32"/>
          <w:szCs w:val="32"/>
        </w:rPr>
      </w:pPr>
      <w:r>
        <w:rPr>
          <w:rFonts w:hint="eastAsia" w:ascii="Times New Roman" w:eastAsia="仿宋_GB2312"/>
          <w:kern w:val="2"/>
          <w:sz w:val="32"/>
          <w:szCs w:val="32"/>
        </w:rPr>
        <w:t>（3）在术语和定义中增加了鲜林下参、生晒林下参，删除了林分和土壤PH值；</w:t>
      </w:r>
    </w:p>
    <w:p>
      <w:pPr>
        <w:pStyle w:val="13"/>
        <w:ind w:firstLine="678" w:firstLineChars="212"/>
        <w:rPr>
          <w:rFonts w:ascii="Times New Roman" w:eastAsia="仿宋_GB2312"/>
          <w:kern w:val="2"/>
          <w:sz w:val="32"/>
          <w:szCs w:val="32"/>
        </w:rPr>
      </w:pPr>
      <w:r>
        <w:rPr>
          <w:rFonts w:hint="eastAsia" w:ascii="Times New Roman" w:eastAsia="仿宋_GB2312"/>
          <w:kern w:val="2"/>
          <w:sz w:val="32"/>
          <w:szCs w:val="32"/>
        </w:rPr>
        <w:t>（5）根据标准GB/T 17924-2008《地理标志产品 标准通用要求》中的规定，将原标准第4章、第5章、第6章和第7章进行合并改为要求并对内容进行调整；</w:t>
      </w:r>
    </w:p>
    <w:p>
      <w:pPr>
        <w:pStyle w:val="13"/>
        <w:ind w:firstLine="640"/>
        <w:rPr>
          <w:rFonts w:ascii="仿宋_GB2312" w:hAnsi="Calibri" w:eastAsia="仿宋_GB2312"/>
          <w:sz w:val="32"/>
          <w:szCs w:val="32"/>
        </w:rPr>
      </w:pPr>
      <w:r>
        <w:rPr>
          <w:rFonts w:hint="eastAsia" w:ascii="Times New Roman" w:eastAsia="仿宋_GB2312"/>
          <w:kern w:val="2"/>
          <w:sz w:val="32"/>
          <w:szCs w:val="32"/>
        </w:rPr>
        <w:t>（6）</w:t>
      </w:r>
      <w:r>
        <w:rPr>
          <w:rFonts w:hint="eastAsia" w:ascii="仿宋_GB2312" w:hAnsi="Calibri" w:eastAsia="仿宋_GB2312"/>
          <w:sz w:val="32"/>
          <w:szCs w:val="32"/>
        </w:rPr>
        <w:t>增加了第6章标志、标签；</w:t>
      </w:r>
    </w:p>
    <w:p>
      <w:pPr>
        <w:spacing w:line="560" w:lineRule="exact"/>
        <w:ind w:left="640" w:leftChars="200"/>
        <w:rPr>
          <w:rFonts w:ascii="仿宋_GB2312" w:hAnsi="Calibri"/>
        </w:rPr>
      </w:pPr>
      <w:r>
        <w:rPr>
          <w:rFonts w:hint="eastAsia" w:ascii="仿宋_GB2312" w:hAnsi="Calibri"/>
        </w:rPr>
        <w:t>（</w:t>
      </w:r>
      <w:r>
        <w:rPr>
          <w:rFonts w:hint="eastAsia"/>
        </w:rPr>
        <w:t>7</w:t>
      </w:r>
      <w:r>
        <w:rPr>
          <w:rFonts w:hint="eastAsia" w:ascii="仿宋_GB2312" w:hAnsi="Calibri"/>
        </w:rPr>
        <w:t>）增加了第7章运输：</w:t>
      </w:r>
    </w:p>
    <w:p>
      <w:pPr>
        <w:spacing w:line="560" w:lineRule="exact"/>
        <w:ind w:firstLine="640" w:firstLineChars="200"/>
        <w:rPr>
          <w:rFonts w:ascii="仿宋_GB2312" w:hAnsi="Calibri"/>
        </w:rPr>
      </w:pPr>
      <w:r>
        <w:rPr>
          <w:rFonts w:hint="eastAsia" w:ascii="仿宋_GB2312" w:hAnsi="Calibri"/>
        </w:rPr>
        <w:t>（</w:t>
      </w:r>
      <w:r>
        <w:rPr>
          <w:rFonts w:hint="eastAsia"/>
        </w:rPr>
        <w:t>8</w:t>
      </w:r>
      <w:r>
        <w:rPr>
          <w:rFonts w:hint="eastAsia" w:ascii="仿宋_GB2312" w:hAnsi="Calibri"/>
        </w:rPr>
        <w:t>）</w:t>
      </w:r>
      <w:bookmarkStart w:id="0" w:name="_GoBack"/>
      <w:bookmarkEnd w:id="0"/>
      <w:r>
        <w:rPr>
          <w:rFonts w:hint="eastAsia" w:ascii="仿宋_GB2312" w:hAnsi="Calibri"/>
        </w:rPr>
        <w:t>根据GB/T 18765-2015《野山参鉴定及分等质量》中“野山参”的定义将标准中采收年限定为15年。</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shd w:val="clear" w:color="auto" w:fill="auto"/>
          </w:tcPr>
          <w:p>
            <w:pPr>
              <w:rPr>
                <w:rFonts w:ascii="仿宋_GB2312" w:hAnsi="Calibri"/>
              </w:rPr>
            </w:pPr>
            <w:r>
              <w:rPr>
                <w:rFonts w:ascii="仿宋_GB2312" w:hAnsi="Calibri"/>
              </w:rPr>
              <w:pict>
                <v:shape id="_x0000_i1025" o:spt="75" alt="707827428" type="#_x0000_t75" style="height:113.55pt;width:201.45pt;" filled="f" o:preferrelative="t" stroked="f" coordsize="21600,21600">
                  <v:path/>
                  <v:fill on="f" focussize="0,0"/>
                  <v:stroke on="f" joinstyle="miter"/>
                  <v:imagedata r:id="rId5" o:title=""/>
                  <o:lock v:ext="edit" aspectratio="t"/>
                  <w10:wrap type="none"/>
                  <w10:anchorlock/>
                </v:shape>
              </w:pict>
            </w:r>
          </w:p>
          <w:p>
            <w:pPr>
              <w:jc w:val="center"/>
              <w:rPr>
                <w:rFonts w:ascii="仿宋_GB2312" w:hAnsi="Calibri"/>
              </w:rPr>
            </w:pPr>
            <w:r>
              <w:rPr>
                <w:rFonts w:hint="eastAsia" w:ascii="仿宋_GB2312" w:hAnsi="Calibri"/>
              </w:rPr>
              <w:t>（原标准）</w:t>
            </w:r>
          </w:p>
        </w:tc>
        <w:tc>
          <w:tcPr>
            <w:tcW w:w="4261" w:type="dxa"/>
            <w:shd w:val="clear" w:color="auto" w:fill="auto"/>
          </w:tcPr>
          <w:p>
            <w:pPr>
              <w:rPr>
                <w:rFonts w:ascii="仿宋_GB2312" w:hAnsi="Calibri"/>
              </w:rPr>
            </w:pPr>
            <w:r>
              <w:rPr>
                <w:rFonts w:ascii="仿宋_GB2312" w:hAnsi="Calibri"/>
              </w:rPr>
              <w:pict>
                <v:shape id="_x0000_i1026" o:spt="75" alt="2000303788" type="#_x0000_t75" style="height:113.55pt;width:201.45pt;" filled="f" o:preferrelative="t" stroked="f" coordsize="21600,21600">
                  <v:path/>
                  <v:fill on="f" focussize="0,0"/>
                  <v:stroke on="f" joinstyle="miter"/>
                  <v:imagedata r:id="rId6" o:title=""/>
                  <o:lock v:ext="edit" aspectratio="t"/>
                  <w10:wrap type="none"/>
                  <w10:anchorlock/>
                </v:shape>
              </w:pict>
            </w:r>
          </w:p>
          <w:p>
            <w:pPr>
              <w:rPr>
                <w:rFonts w:ascii="仿宋_GB2312" w:hAnsi="Calibri"/>
              </w:rPr>
            </w:pPr>
            <w:r>
              <w:rPr>
                <w:rFonts w:hint="eastAsia" w:ascii="仿宋_GB2312" w:hAnsi="Calibri"/>
              </w:rPr>
              <w:t>GB/T 18765-2015《野山参鉴定及分等质量》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4261" w:type="dxa"/>
            <w:vMerge w:val="restart"/>
            <w:shd w:val="clear" w:color="auto" w:fill="auto"/>
          </w:tcPr>
          <w:p>
            <w:pPr>
              <w:jc w:val="center"/>
              <w:rPr>
                <w:rFonts w:ascii="仿宋_GB2312" w:hAnsi="Calibri"/>
              </w:rPr>
            </w:pPr>
            <w:r>
              <w:rPr>
                <w:rFonts w:ascii="仿宋_GB2312" w:hAnsi="Calibri"/>
              </w:rPr>
              <w:pict>
                <v:shape id="_x0000_i1027" o:spt="75" alt="1578807309" type="#_x0000_t75" style="height:113.55pt;width:201.45pt;" filled="f" o:preferrelative="t" stroked="f" coordsize="21600,21600">
                  <v:path/>
                  <v:fill on="f" focussize="0,0"/>
                  <v:stroke on="f" joinstyle="miter"/>
                  <v:imagedata r:id="rId7" o:title=""/>
                  <o:lock v:ext="edit" aspectratio="t"/>
                  <w10:wrap type="none"/>
                  <w10:anchorlock/>
                </v:shape>
              </w:pict>
            </w:r>
          </w:p>
          <w:p>
            <w:pPr>
              <w:jc w:val="center"/>
              <w:rPr>
                <w:rFonts w:ascii="仿宋_GB2312" w:hAnsi="Calibri"/>
              </w:rPr>
            </w:pPr>
            <w:r>
              <w:rPr>
                <w:rFonts w:hint="eastAsia" w:ascii="仿宋_GB2312" w:hAnsi="Calibri"/>
              </w:rPr>
              <w:t>DB21/T 3748-2023 《林下参鉴定及分等质量》</w:t>
            </w:r>
          </w:p>
        </w:tc>
        <w:tc>
          <w:tcPr>
            <w:tcW w:w="4261" w:type="dxa"/>
            <w:shd w:val="clear" w:color="auto" w:fill="auto"/>
          </w:tcPr>
          <w:p>
            <w:pPr>
              <w:rPr>
                <w:rFonts w:ascii="仿宋_GB2312" w:hAnsi="Calibri"/>
              </w:rPr>
            </w:pPr>
            <w:r>
              <w:rPr>
                <w:rFonts w:ascii="仿宋_GB2312" w:hAnsi="Calibri"/>
              </w:rPr>
              <w:pict>
                <v:shape id="_x0000_i1028" o:spt="75" alt="448702238" type="#_x0000_t75" style="height:66.45pt;width:201.45pt;" filled="f" o:preferrelative="t" stroked="f" coordsize="21600,21600">
                  <v:path/>
                  <v:fill on="f" focussize="0,0"/>
                  <v:stroke on="f" joinstyle="miter"/>
                  <v:imagedata r:id="rId8" cropbottom="27249f" o:title=""/>
                  <o:lock v:ext="edit" aspectratio="t"/>
                  <w10:wrap type="none"/>
                  <w10:anchorlock/>
                </v:shap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4261" w:type="dxa"/>
            <w:vMerge w:val="continue"/>
            <w:shd w:val="clear" w:color="auto" w:fill="auto"/>
          </w:tcPr>
          <w:p/>
        </w:tc>
        <w:tc>
          <w:tcPr>
            <w:tcW w:w="4261" w:type="dxa"/>
            <w:shd w:val="clear" w:color="auto" w:fill="auto"/>
          </w:tcPr>
          <w:p>
            <w:pPr>
              <w:rPr>
                <w:rFonts w:ascii="仿宋_GB2312" w:hAnsi="Calibri"/>
              </w:rPr>
            </w:pPr>
            <w:r>
              <w:rPr>
                <w:rFonts w:ascii="仿宋_GB2312" w:hAnsi="Calibri"/>
              </w:rPr>
              <w:pict>
                <v:shape id="_x0000_i1029" o:spt="75" alt="580427566" type="#_x0000_t75" style="height:60.85pt;width:201.45pt;" filled="f" o:preferrelative="t" stroked="f" coordsize="21600,21600">
                  <v:path/>
                  <v:fill on="f" focussize="0,0"/>
                  <v:stroke on="f" joinstyle="miter"/>
                  <v:imagedata r:id="rId9" cropbottom="30341f" o:title=""/>
                  <o:lock v:ext="edit" aspectratio="t"/>
                  <w10:wrap type="none"/>
                  <w10:anchorlock/>
                </v:shape>
              </w:pict>
            </w:r>
            <w:r>
              <w:rPr>
                <w:rFonts w:hint="eastAsia" w:ascii="仿宋_GB2312" w:hAnsi="Calibri"/>
              </w:rPr>
              <w:t>GB/T 22531-2015《野山参人工繁衍护育操作规程》（地理标志产品  吉林长白山人参中野山参引用该标准）</w:t>
            </w:r>
          </w:p>
        </w:tc>
      </w:tr>
    </w:tbl>
    <w:p>
      <w:pPr>
        <w:ind w:firstLine="640" w:firstLineChars="200"/>
        <w:rPr>
          <w:rFonts w:ascii="黑体" w:hAnsi="黑体" w:eastAsia="黑体"/>
        </w:rPr>
      </w:pPr>
      <w:r>
        <w:rPr>
          <w:rFonts w:hint="eastAsia" w:ascii="黑体" w:hAnsi="黑体" w:eastAsia="黑体" w:cs="黑体"/>
        </w:rPr>
        <w:t>（五）与有关的现行法律、法规和国家标准、行业标准、地方标准的关系；</w:t>
      </w:r>
    </w:p>
    <w:p>
      <w:pPr>
        <w:ind w:firstLine="640" w:firstLineChars="200"/>
        <w:rPr>
          <w:rFonts w:ascii="黑体" w:hAnsi="黑体" w:eastAsia="黑体"/>
        </w:rPr>
      </w:pPr>
      <w:r>
        <w:rPr>
          <w:rFonts w:hint="eastAsia" w:ascii="仿宋_GB2312" w:hAnsi="黑体" w:cs="仿宋_GB2312"/>
        </w:rPr>
        <w:t>本标准的制定以《中华人民共和国标准法》为依据，并在符合</w:t>
      </w:r>
      <w:r>
        <w:rPr>
          <w:rFonts w:ascii="仿宋_GB2312" w:hAnsi="黑体" w:cs="仿宋_GB2312"/>
        </w:rPr>
        <w:t>GB/T</w:t>
      </w:r>
      <w:r>
        <w:rPr>
          <w:rFonts w:hint="eastAsia" w:ascii="仿宋_GB2312" w:hAnsi="黑体" w:cs="仿宋_GB2312"/>
        </w:rPr>
        <w:t xml:space="preserve"> </w:t>
      </w:r>
      <w:r>
        <w:rPr>
          <w:rFonts w:ascii="仿宋_GB2312" w:hAnsi="黑体" w:cs="仿宋_GB2312"/>
        </w:rPr>
        <w:t>1.1-20</w:t>
      </w:r>
      <w:r>
        <w:rPr>
          <w:rFonts w:hint="eastAsia" w:ascii="仿宋_GB2312" w:hAnsi="黑体" w:cs="仿宋_GB2312"/>
        </w:rPr>
        <w:t>2</w:t>
      </w:r>
      <w:r>
        <w:rPr>
          <w:rFonts w:ascii="仿宋_GB2312" w:hAnsi="黑体" w:cs="仿宋_GB2312"/>
        </w:rPr>
        <w:t>0</w:t>
      </w:r>
      <w:r>
        <w:rPr>
          <w:rFonts w:hint="eastAsia" w:ascii="仿宋_GB2312" w:hAnsi="黑体" w:cs="仿宋_GB2312"/>
        </w:rPr>
        <w:t>《标准化工作导则</w:t>
      </w:r>
      <w:r>
        <w:rPr>
          <w:rFonts w:ascii="仿宋_GB2312" w:hAnsi="黑体" w:cs="仿宋_GB2312"/>
        </w:rPr>
        <w:t xml:space="preserve"> </w:t>
      </w:r>
      <w:r>
        <w:rPr>
          <w:rFonts w:hint="eastAsia" w:ascii="仿宋_GB2312" w:hAnsi="黑体" w:cs="仿宋_GB2312"/>
        </w:rPr>
        <w:t>第</w:t>
      </w:r>
      <w:r>
        <w:rPr>
          <w:rFonts w:ascii="仿宋_GB2312" w:hAnsi="黑体" w:cs="仿宋_GB2312"/>
        </w:rPr>
        <w:t>1</w:t>
      </w:r>
      <w:r>
        <w:rPr>
          <w:rFonts w:hint="eastAsia" w:ascii="仿宋_GB2312" w:hAnsi="黑体" w:cs="仿宋_GB2312"/>
        </w:rPr>
        <w:t>部分：标准化文件的结构和起草规则》和《农业标准编写规则》的基础上，参考了</w:t>
      </w:r>
      <w:r>
        <w:rPr>
          <w:rFonts w:hint="eastAsia"/>
        </w:rPr>
        <w:t>GB/T 17924-2008《</w:t>
      </w:r>
      <w:r>
        <w:rPr>
          <w:rFonts w:ascii="仿宋_GB2312" w:hAnsi="黑体" w:cs="仿宋_GB2312"/>
        </w:rPr>
        <w:t>地理标志产品 标准通用要求</w:t>
      </w:r>
      <w:r>
        <w:rPr>
          <w:rFonts w:hint="eastAsia" w:ascii="Verdana" w:hAnsi="Verdana"/>
          <w:color w:val="333333"/>
          <w:sz w:val="30"/>
          <w:szCs w:val="30"/>
          <w:shd w:val="clear" w:color="auto" w:fill="FFFFFF"/>
        </w:rPr>
        <w:t>》、</w:t>
      </w:r>
      <w:r>
        <w:rPr>
          <w:rFonts w:hint="eastAsia"/>
        </w:rPr>
        <w:t>GB/T 18765-2015</w:t>
      </w:r>
      <w:r>
        <w:rPr>
          <w:rFonts w:hint="eastAsia" w:ascii="仿宋_GB2312" w:hAnsi="黑体" w:cs="仿宋_GB2312"/>
        </w:rPr>
        <w:t>《</w:t>
      </w:r>
      <w:r>
        <w:rPr>
          <w:rFonts w:hint="eastAsia" w:ascii="仿宋_GB2312" w:hAnsi="Calibri"/>
        </w:rPr>
        <w:t>野山参鉴定及分等质量</w:t>
      </w:r>
      <w:r>
        <w:rPr>
          <w:rFonts w:hint="eastAsia" w:ascii="仿宋_GB2312" w:hAnsi="黑体" w:cs="仿宋_GB2312"/>
        </w:rPr>
        <w:t>》、</w:t>
      </w:r>
      <w:r>
        <w:rPr>
          <w:rFonts w:hint="eastAsia" w:ascii="仿宋_GB2312" w:hAnsi="Calibri"/>
        </w:rPr>
        <w:t>DB21/T 3748-2023 《林下参鉴定及分等质量》、GB/T 19506-2009 《地理标准产品 吉林长白山人参》、DB2014/T0023-2023《抚顺林下人参栽培技术规程》</w:t>
      </w:r>
      <w:r>
        <w:rPr>
          <w:rFonts w:hint="eastAsia" w:ascii="仿宋_GB2312" w:hAnsi="黑体" w:cs="仿宋_GB2312"/>
        </w:rPr>
        <w:t>等标准，与现行法律、法规和国家标准、行业标准、地方标准都不冲突。</w:t>
      </w:r>
    </w:p>
    <w:p>
      <w:pPr>
        <w:ind w:firstLine="320" w:firstLineChars="100"/>
        <w:rPr>
          <w:rFonts w:ascii="黑体" w:hAnsi="黑体" w:eastAsia="黑体"/>
        </w:rPr>
      </w:pPr>
      <w:r>
        <w:rPr>
          <w:rFonts w:hint="eastAsia" w:ascii="黑体" w:hAnsi="黑体" w:eastAsia="黑体" w:cs="黑体"/>
        </w:rPr>
        <w:t>（六）作为强制性地方标准或推荐性地方标准的建议及理由；</w:t>
      </w:r>
    </w:p>
    <w:p>
      <w:pPr>
        <w:ind w:firstLine="640" w:firstLineChars="200"/>
        <w:rPr>
          <w:rFonts w:ascii="仿宋_GB2312" w:hAnsi="黑体"/>
        </w:rPr>
      </w:pPr>
      <w:r>
        <w:rPr>
          <w:rFonts w:hint="eastAsia" w:ascii="仿宋_GB2312" w:hAnsi="黑体" w:cs="仿宋_GB2312"/>
        </w:rPr>
        <w:t>建议本标准作为推荐性地方标准。</w:t>
      </w:r>
    </w:p>
    <w:p>
      <w:pPr>
        <w:ind w:firstLine="320" w:firstLineChars="100"/>
        <w:rPr>
          <w:rFonts w:ascii="黑体" w:hAnsi="黑体" w:eastAsia="黑体"/>
        </w:rPr>
      </w:pPr>
      <w:r>
        <w:rPr>
          <w:rFonts w:hint="eastAsia" w:ascii="黑体" w:hAnsi="黑体" w:eastAsia="黑体" w:cs="黑体"/>
        </w:rPr>
        <w:t>（七）标准属性；</w:t>
      </w:r>
    </w:p>
    <w:p>
      <w:pPr>
        <w:ind w:firstLine="640" w:firstLineChars="200"/>
        <w:rPr>
          <w:rFonts w:ascii="黑体" w:hAnsi="黑体" w:eastAsia="黑体"/>
        </w:rPr>
      </w:pPr>
      <w:r>
        <w:rPr>
          <w:rFonts w:hint="eastAsia" w:hAnsi="宋体" w:cs="仿宋_GB2312"/>
        </w:rPr>
        <w:t>属于抚顺市地方标准</w:t>
      </w:r>
    </w:p>
    <w:p>
      <w:pPr>
        <w:numPr>
          <w:ilvl w:val="0"/>
          <w:numId w:val="4"/>
        </w:numPr>
        <w:ind w:firstLine="320" w:firstLineChars="100"/>
        <w:rPr>
          <w:rFonts w:ascii="黑体" w:hAnsi="黑体" w:eastAsia="黑体" w:cs="黑体"/>
        </w:rPr>
      </w:pPr>
      <w:r>
        <w:rPr>
          <w:rFonts w:hint="eastAsia" w:ascii="黑体" w:hAnsi="黑体" w:eastAsia="黑体" w:cs="黑体"/>
        </w:rPr>
        <w:t>其他应予说明的事项。</w:t>
      </w:r>
    </w:p>
    <w:p>
      <w:pPr>
        <w:ind w:firstLine="600" w:firstLineChars="200"/>
        <w:rPr>
          <w:rFonts w:ascii="宋体" w:hAnsi="宋体" w:eastAsia="宋体" w:cs="宋体"/>
          <w:sz w:val="30"/>
          <w:szCs w:val="30"/>
        </w:rPr>
      </w:pPr>
      <w:r>
        <w:rPr>
          <w:rFonts w:hint="eastAsia" w:ascii="宋体" w:hAnsi="宋体" w:eastAsia="宋体" w:cs="宋体"/>
          <w:sz w:val="30"/>
          <w:szCs w:val="30"/>
        </w:rPr>
        <w:t>无</w:t>
      </w:r>
    </w:p>
    <w:p>
      <w:pPr>
        <w:rPr>
          <w:rFonts w:ascii="宋体" w:hAnsi="宋体" w:eastAsia="宋体" w:cs="宋体"/>
          <w:sz w:val="30"/>
          <w:szCs w:val="30"/>
        </w:rPr>
      </w:pPr>
    </w:p>
    <w:sectPr>
      <w:footerReference r:id="rId3" w:type="default"/>
      <w:pgSz w:w="11906" w:h="16838"/>
      <w:pgMar w:top="2098" w:right="1474" w:bottom="1701"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Verdana">
    <w:altName w:val="Ubuntu"/>
    <w:panose1 w:val="020B0604030504040204"/>
    <w:charset w:val="00"/>
    <w:family w:val="swiss"/>
    <w:pitch w:val="default"/>
    <w:sig w:usb0="00000000" w:usb1="00000000" w:usb2="00000010"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B1B04"/>
    <w:multiLevelType w:val="singleLevel"/>
    <w:tmpl w:val="CCEB1B04"/>
    <w:lvl w:ilvl="0" w:tentative="0">
      <w:start w:val="8"/>
      <w:numFmt w:val="chineseCounting"/>
      <w:suff w:val="nothing"/>
      <w:lvlText w:val="（%1）"/>
      <w:lvlJc w:val="left"/>
      <w:rPr>
        <w:rFonts w:hint="eastAsia"/>
      </w:rPr>
    </w:lvl>
  </w:abstractNum>
  <w:abstractNum w:abstractNumId="1">
    <w:nsid w:val="E7DF9F45"/>
    <w:multiLevelType w:val="multilevel"/>
    <w:tmpl w:val="E7DF9F45"/>
    <w:lvl w:ilvl="0" w:tentative="0">
      <w:start w:val="1"/>
      <w:numFmt w:val="decimal"/>
      <w:pStyle w:val="15"/>
      <w:suff w:val="nothing"/>
      <w:lvlText w:val="%1　"/>
      <w:lvlJc w:val="left"/>
      <w:rPr>
        <w:rFonts w:hint="eastAsia" w:ascii="黑体" w:hAnsi="Times New Roman" w:eastAsia="黑体"/>
        <w:b w:val="0"/>
        <w:bCs w:val="0"/>
        <w:sz w:val="21"/>
        <w:szCs w:val="21"/>
      </w:rPr>
    </w:lvl>
    <w:lvl w:ilvl="1" w:tentative="0">
      <w:start w:val="1"/>
      <w:numFmt w:val="decimal"/>
      <w:suff w:val="nothing"/>
      <w:lvlText w:val="%1.%2　"/>
      <w:lvlJc w:val="left"/>
      <w:rPr>
        <w:rFonts w:hint="eastAsia" w:ascii="黑体" w:hAnsi="Times New Roman" w:eastAsia="黑体"/>
        <w:b w:val="0"/>
        <w:bCs w:val="0"/>
        <w:caps w:val="0"/>
        <w:strike w:val="0"/>
        <w:dstrike w:val="0"/>
        <w:outline w:val="0"/>
        <w:vanish w:val="0"/>
        <w:spacing w:val="0"/>
        <w:kern w:val="0"/>
        <w:position w:val="0"/>
        <w:sz w:val="21"/>
        <w:szCs w:val="21"/>
        <w:u w:val="none"/>
      </w:rPr>
    </w:lvl>
    <w:lvl w:ilvl="2" w:tentative="0">
      <w:start w:val="1"/>
      <w:numFmt w:val="decimal"/>
      <w:suff w:val="nothing"/>
      <w:lvlText w:val="%1.%2.%3　"/>
      <w:lvlJc w:val="left"/>
      <w:rPr>
        <w:rFonts w:hint="eastAsia" w:ascii="黑体" w:hAnsi="Times New Roman" w:eastAsia="黑体"/>
        <w:b w:val="0"/>
        <w:bCs w:val="0"/>
        <w:sz w:val="21"/>
        <w:szCs w:val="21"/>
      </w:rPr>
    </w:lvl>
    <w:lvl w:ilvl="3" w:tentative="0">
      <w:start w:val="1"/>
      <w:numFmt w:val="decimal"/>
      <w:suff w:val="nothing"/>
      <w:lvlText w:val="%1.%2.%3.%4　"/>
      <w:lvlJc w:val="left"/>
      <w:rPr>
        <w:rFonts w:hint="eastAsia" w:ascii="黑体" w:hAnsi="Times New Roman" w:eastAsia="黑体"/>
        <w:b w:val="0"/>
        <w:bCs w:val="0"/>
        <w:sz w:val="21"/>
        <w:szCs w:val="21"/>
      </w:rPr>
    </w:lvl>
    <w:lvl w:ilvl="4" w:tentative="0">
      <w:start w:val="1"/>
      <w:numFmt w:val="decimal"/>
      <w:suff w:val="nothing"/>
      <w:lvlText w:val="%1.%2.%3.%4.%5　"/>
      <w:lvlJc w:val="left"/>
      <w:rPr>
        <w:rFonts w:hint="eastAsia" w:ascii="黑体" w:hAnsi="Times New Roman" w:eastAsia="黑体"/>
        <w:b w:val="0"/>
        <w:bCs w:val="0"/>
        <w:sz w:val="21"/>
        <w:szCs w:val="21"/>
      </w:rPr>
    </w:lvl>
    <w:lvl w:ilvl="5" w:tentative="0">
      <w:start w:val="1"/>
      <w:numFmt w:val="decimal"/>
      <w:suff w:val="nothing"/>
      <w:lvlText w:val="%1.%2.%3.%4.%5.%6　"/>
      <w:lvlJc w:val="left"/>
      <w:rPr>
        <w:rFonts w:hint="eastAsia" w:ascii="黑体" w:hAnsi="Times New Roman" w:eastAsia="黑体"/>
        <w:b w:val="0"/>
        <w:bCs w:val="0"/>
        <w:sz w:val="21"/>
        <w:szCs w:val="21"/>
      </w:rPr>
    </w:lvl>
    <w:lvl w:ilvl="6" w:tentative="0">
      <w:start w:val="1"/>
      <w:numFmt w:val="decimal"/>
      <w:suff w:val="nothing"/>
      <w:lvlText w:val="%1%2.%3.%4.%5.%6.%7　"/>
      <w:lvlJc w:val="left"/>
      <w:rPr>
        <w:rFonts w:hint="eastAsia" w:ascii="黑体" w:hAnsi="Times New Roman" w:eastAsia="黑体"/>
        <w:b w:val="0"/>
        <w:bCs w:val="0"/>
        <w:sz w:val="21"/>
        <w:szCs w:val="21"/>
      </w:rPr>
    </w:lvl>
    <w:lvl w:ilvl="7" w:tentative="0">
      <w:start w:val="1"/>
      <w:numFmt w:val="decimal"/>
      <w:lvlText w:val="%1.%2.%3.%4.%5.%6.%7.%8"/>
      <w:lvlJc w:val="left"/>
      <w:pPr>
        <w:tabs>
          <w:tab w:val="left" w:pos="4351"/>
        </w:tabs>
        <w:ind w:left="3972" w:hanging="1418"/>
      </w:pPr>
    </w:lvl>
    <w:lvl w:ilvl="8" w:tentative="0">
      <w:start w:val="1"/>
      <w:numFmt w:val="decimal"/>
      <w:lvlText w:val="%1.%2.%3.%4.%5.%6.%7.%8.%9"/>
      <w:lvlJc w:val="left"/>
      <w:pPr>
        <w:tabs>
          <w:tab w:val="left" w:pos="4777"/>
        </w:tabs>
        <w:ind w:left="4677" w:hanging="1700"/>
      </w:pPr>
    </w:lvl>
  </w:abstractNum>
  <w:abstractNum w:abstractNumId="2">
    <w:nsid w:val="1FC91163"/>
    <w:multiLevelType w:val="multilevel"/>
    <w:tmpl w:val="1FC91163"/>
    <w:lvl w:ilvl="0" w:tentative="0">
      <w:start w:val="1"/>
      <w:numFmt w:val="decimal"/>
      <w:suff w:val="nothing"/>
      <w:lvlText w:val="%1　"/>
      <w:lvlJc w:val="left"/>
      <w:rPr>
        <w:rFonts w:hint="eastAsia" w:ascii="黑体" w:hAnsi="Times New Roman" w:eastAsia="黑体"/>
        <w:b w:val="0"/>
        <w:bCs w:val="0"/>
        <w:i w:val="0"/>
        <w:iCs w:val="0"/>
        <w:sz w:val="21"/>
        <w:szCs w:val="21"/>
      </w:rPr>
    </w:lvl>
    <w:lvl w:ilvl="1" w:tentative="0">
      <w:start w:val="1"/>
      <w:numFmt w:val="decimal"/>
      <w:pStyle w:val="18"/>
      <w:suff w:val="nothing"/>
      <w:lvlText w:val="%1.%2　"/>
      <w:lvlJc w:val="left"/>
      <w:rPr>
        <w:rFonts w:hint="eastAsia" w:ascii="黑体" w:hAnsi="Times New Roman" w:eastAsia="黑体"/>
        <w:b w:val="0"/>
        <w:bCs w:val="0"/>
        <w:i w:val="0"/>
        <w:iCs w:val="0"/>
        <w:caps w:val="0"/>
        <w:strike w:val="0"/>
        <w:dstrike w:val="0"/>
        <w:vanish w:val="0"/>
        <w:spacing w:val="0"/>
        <w:kern w:val="0"/>
        <w:position w:val="0"/>
        <w:sz w:val="21"/>
        <w:szCs w:val="21"/>
        <w:u w:val="none"/>
        <w:vertAlign w:val="baseline"/>
      </w:rPr>
    </w:lvl>
    <w:lvl w:ilvl="2" w:tentative="0">
      <w:start w:val="1"/>
      <w:numFmt w:val="decimal"/>
      <w:pStyle w:val="17"/>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34A7799"/>
    <w:multiLevelType w:val="multilevel"/>
    <w:tmpl w:val="234A779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pStyle w:val="16"/>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NotTrackMoves/>
  <w:documentProtection w:enforcement="0"/>
  <w:defaultTabStop w:val="420"/>
  <w:doNotHyphenateCaps/>
  <w:drawingGridHorizontalSpacing w:val="160"/>
  <w:drawingGridVerticalSpacing w:val="435"/>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71F"/>
    <w:rsid w:val="00003F3B"/>
    <w:rsid w:val="00044AFA"/>
    <w:rsid w:val="00057568"/>
    <w:rsid w:val="00082B41"/>
    <w:rsid w:val="000924CD"/>
    <w:rsid w:val="000A6453"/>
    <w:rsid w:val="000C6508"/>
    <w:rsid w:val="000E2B52"/>
    <w:rsid w:val="000F0AE3"/>
    <w:rsid w:val="000F31A0"/>
    <w:rsid w:val="001036EF"/>
    <w:rsid w:val="00145E01"/>
    <w:rsid w:val="00177EFA"/>
    <w:rsid w:val="001F00F0"/>
    <w:rsid w:val="001F2B1A"/>
    <w:rsid w:val="001F36B2"/>
    <w:rsid w:val="00210A29"/>
    <w:rsid w:val="002201E5"/>
    <w:rsid w:val="00286E2A"/>
    <w:rsid w:val="002A0D44"/>
    <w:rsid w:val="002A504F"/>
    <w:rsid w:val="002B7A1C"/>
    <w:rsid w:val="002E2101"/>
    <w:rsid w:val="003029A7"/>
    <w:rsid w:val="0030578F"/>
    <w:rsid w:val="00322D86"/>
    <w:rsid w:val="00341611"/>
    <w:rsid w:val="00355511"/>
    <w:rsid w:val="00377B25"/>
    <w:rsid w:val="003E6F0B"/>
    <w:rsid w:val="0044360E"/>
    <w:rsid w:val="00493F9B"/>
    <w:rsid w:val="004D3917"/>
    <w:rsid w:val="00514DAD"/>
    <w:rsid w:val="00535E8C"/>
    <w:rsid w:val="00537287"/>
    <w:rsid w:val="00580220"/>
    <w:rsid w:val="00595F5B"/>
    <w:rsid w:val="005B0D36"/>
    <w:rsid w:val="005D6E66"/>
    <w:rsid w:val="00632F0C"/>
    <w:rsid w:val="006431A2"/>
    <w:rsid w:val="00653BBB"/>
    <w:rsid w:val="0068384D"/>
    <w:rsid w:val="006B176D"/>
    <w:rsid w:val="006C2B43"/>
    <w:rsid w:val="00717B4A"/>
    <w:rsid w:val="007651F7"/>
    <w:rsid w:val="007A69B3"/>
    <w:rsid w:val="007B2DF4"/>
    <w:rsid w:val="007C6EED"/>
    <w:rsid w:val="007D62B8"/>
    <w:rsid w:val="007E398D"/>
    <w:rsid w:val="007F4099"/>
    <w:rsid w:val="00801922"/>
    <w:rsid w:val="00824BFC"/>
    <w:rsid w:val="008341BC"/>
    <w:rsid w:val="00872FF1"/>
    <w:rsid w:val="008A4027"/>
    <w:rsid w:val="008A51EB"/>
    <w:rsid w:val="008F16DD"/>
    <w:rsid w:val="00916261"/>
    <w:rsid w:val="00923FC2"/>
    <w:rsid w:val="00941794"/>
    <w:rsid w:val="00943EA6"/>
    <w:rsid w:val="00946762"/>
    <w:rsid w:val="0094795E"/>
    <w:rsid w:val="00951617"/>
    <w:rsid w:val="0096216B"/>
    <w:rsid w:val="009859A3"/>
    <w:rsid w:val="009B54D5"/>
    <w:rsid w:val="009C38E4"/>
    <w:rsid w:val="00A2071F"/>
    <w:rsid w:val="00A33040"/>
    <w:rsid w:val="00AB491B"/>
    <w:rsid w:val="00AD2ABC"/>
    <w:rsid w:val="00AD6162"/>
    <w:rsid w:val="00AF73A3"/>
    <w:rsid w:val="00C46241"/>
    <w:rsid w:val="00C56532"/>
    <w:rsid w:val="00C569EB"/>
    <w:rsid w:val="00C61BF0"/>
    <w:rsid w:val="00C86D4F"/>
    <w:rsid w:val="00CB5A74"/>
    <w:rsid w:val="00D3532C"/>
    <w:rsid w:val="00D51A5F"/>
    <w:rsid w:val="00DE09EA"/>
    <w:rsid w:val="00E33C73"/>
    <w:rsid w:val="00E57C07"/>
    <w:rsid w:val="00E71E3C"/>
    <w:rsid w:val="00E7274A"/>
    <w:rsid w:val="00E90090"/>
    <w:rsid w:val="00EA7B69"/>
    <w:rsid w:val="00EB278E"/>
    <w:rsid w:val="00EC78A0"/>
    <w:rsid w:val="00F908B2"/>
    <w:rsid w:val="00F9338E"/>
    <w:rsid w:val="00F96B62"/>
    <w:rsid w:val="00FB660D"/>
    <w:rsid w:val="00FC7D42"/>
    <w:rsid w:val="0CDC3AE6"/>
    <w:rsid w:val="193666BA"/>
    <w:rsid w:val="36D617FE"/>
    <w:rsid w:val="3DABCF02"/>
    <w:rsid w:val="3EC7E5A1"/>
    <w:rsid w:val="3EE5268C"/>
    <w:rsid w:val="48FA70F6"/>
    <w:rsid w:val="49FA5522"/>
    <w:rsid w:val="4F351B80"/>
    <w:rsid w:val="50E70A92"/>
    <w:rsid w:val="51B16EA8"/>
    <w:rsid w:val="59B41550"/>
    <w:rsid w:val="5DFFD43E"/>
    <w:rsid w:val="5FDF1CEB"/>
    <w:rsid w:val="642F7937"/>
    <w:rsid w:val="656F57DF"/>
    <w:rsid w:val="66C92548"/>
    <w:rsid w:val="6BB958D1"/>
    <w:rsid w:val="6F376C93"/>
    <w:rsid w:val="708C2778"/>
    <w:rsid w:val="72D77F86"/>
    <w:rsid w:val="75A25D44"/>
    <w:rsid w:val="7BDE7E82"/>
    <w:rsid w:val="7DF6A47D"/>
    <w:rsid w:val="7E1DFF73"/>
    <w:rsid w:val="9F3FC102"/>
    <w:rsid w:val="AFFE943B"/>
    <w:rsid w:val="BF73DFA8"/>
    <w:rsid w:val="CFBBB3C6"/>
    <w:rsid w:val="DFBF26C3"/>
    <w:rsid w:val="E976AED3"/>
    <w:rsid w:val="F8BFD6F6"/>
    <w:rsid w:val="F9F79B78"/>
    <w:rsid w:val="FABDF702"/>
    <w:rsid w:val="FFEF76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eastAsia="宋体"/>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eastAsia="宋体"/>
      <w:kern w:val="0"/>
      <w:sz w:val="18"/>
      <w:szCs w:val="18"/>
    </w:rPr>
  </w:style>
  <w:style w:type="paragraph" w:styleId="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5">
    <w:name w:val="Normal (Web)"/>
    <w:basedOn w:val="1"/>
    <w:semiHidden/>
    <w:qFormat/>
    <w:uiPriority w:val="99"/>
    <w:pPr>
      <w:spacing w:beforeAutospacing="1" w:afterAutospacing="1"/>
      <w:jc w:val="left"/>
    </w:pPr>
    <w:rPr>
      <w:kern w:val="0"/>
      <w:sz w:val="24"/>
      <w:szCs w:val="24"/>
    </w:rPr>
  </w:style>
  <w:style w:type="table" w:styleId="7">
    <w:name w:val="Table Grid"/>
    <w:basedOn w:val="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99"/>
    <w:rPr>
      <w:b/>
      <w:bCs/>
    </w:rPr>
  </w:style>
  <w:style w:type="character" w:customStyle="1" w:styleId="10">
    <w:name w:val="页脚 Char"/>
    <w:link w:val="2"/>
    <w:qFormat/>
    <w:locked/>
    <w:uiPriority w:val="99"/>
    <w:rPr>
      <w:sz w:val="18"/>
      <w:szCs w:val="18"/>
    </w:rPr>
  </w:style>
  <w:style w:type="character" w:customStyle="1" w:styleId="11">
    <w:name w:val="页眉 Char"/>
    <w:link w:val="3"/>
    <w:qFormat/>
    <w:locked/>
    <w:uiPriority w:val="99"/>
    <w:rPr>
      <w:sz w:val="18"/>
      <w:szCs w:val="18"/>
    </w:rPr>
  </w:style>
  <w:style w:type="paragraph" w:styleId="12">
    <w:name w:val="List Paragraph"/>
    <w:basedOn w:val="1"/>
    <w:qFormat/>
    <w:uiPriority w:val="99"/>
    <w:pPr>
      <w:ind w:firstLine="420" w:firstLineChars="200"/>
    </w:pPr>
  </w:style>
  <w:style w:type="paragraph" w:customStyle="1" w:styleId="13">
    <w:name w:val="段"/>
    <w:link w:val="14"/>
    <w:qFormat/>
    <w:uiPriority w:val="99"/>
    <w:pPr>
      <w:autoSpaceDE w:val="0"/>
      <w:autoSpaceDN w:val="0"/>
      <w:ind w:firstLine="200" w:firstLineChars="200"/>
      <w:jc w:val="both"/>
    </w:pPr>
    <w:rPr>
      <w:rFonts w:ascii="宋体" w:hAnsi="Times New Roman" w:eastAsia="宋体" w:cs="Times New Roman"/>
      <w:sz w:val="21"/>
      <w:szCs w:val="21"/>
      <w:lang w:val="en-US" w:eastAsia="zh-CN" w:bidi="ar-SA"/>
    </w:rPr>
  </w:style>
  <w:style w:type="character" w:customStyle="1" w:styleId="14">
    <w:name w:val="段 Char"/>
    <w:link w:val="13"/>
    <w:qFormat/>
    <w:locked/>
    <w:uiPriority w:val="99"/>
    <w:rPr>
      <w:rFonts w:ascii="宋体"/>
      <w:sz w:val="21"/>
      <w:szCs w:val="21"/>
      <w:lang w:val="en-US" w:eastAsia="zh-CN" w:bidi="ar-SA"/>
    </w:rPr>
  </w:style>
  <w:style w:type="paragraph" w:customStyle="1" w:styleId="15">
    <w:name w:val="章标题"/>
    <w:basedOn w:val="1"/>
    <w:next w:val="13"/>
    <w:qFormat/>
    <w:uiPriority w:val="99"/>
    <w:pPr>
      <w:widowControl/>
      <w:numPr>
        <w:ilvl w:val="0"/>
        <w:numId w:val="1"/>
      </w:numPr>
      <w:spacing w:beforeLines="100" w:afterLines="100"/>
      <w:outlineLvl w:val="1"/>
    </w:pPr>
    <w:rPr>
      <w:rFonts w:ascii="黑体" w:eastAsia="黑体" w:cs="黑体"/>
      <w:kern w:val="0"/>
      <w:sz w:val="21"/>
      <w:szCs w:val="21"/>
    </w:rPr>
  </w:style>
  <w:style w:type="paragraph" w:customStyle="1" w:styleId="16">
    <w:name w:val="二级无"/>
    <w:basedOn w:val="17"/>
    <w:qFormat/>
    <w:uiPriority w:val="99"/>
    <w:pPr>
      <w:numPr>
        <w:numId w:val="2"/>
      </w:numPr>
      <w:tabs>
        <w:tab w:val="left" w:pos="720"/>
        <w:tab w:val="left" w:pos="2160"/>
      </w:tabs>
      <w:spacing w:beforeLines="0" w:afterLines="0"/>
    </w:pPr>
    <w:rPr>
      <w:rFonts w:ascii="宋体" w:eastAsia="宋体" w:cs="宋体"/>
    </w:rPr>
  </w:style>
  <w:style w:type="paragraph" w:customStyle="1" w:styleId="17">
    <w:name w:val="二级条标题"/>
    <w:basedOn w:val="18"/>
    <w:next w:val="1"/>
    <w:qFormat/>
    <w:uiPriority w:val="99"/>
    <w:pPr>
      <w:numPr>
        <w:ilvl w:val="2"/>
      </w:numPr>
      <w:spacing w:before="50" w:after="50"/>
      <w:outlineLvl w:val="3"/>
    </w:pPr>
  </w:style>
  <w:style w:type="paragraph" w:customStyle="1" w:styleId="18">
    <w:name w:val="一级条标题"/>
    <w:next w:val="1"/>
    <w:qFormat/>
    <w:uiPriority w:val="99"/>
    <w:pPr>
      <w:numPr>
        <w:ilvl w:val="1"/>
        <w:numId w:val="3"/>
      </w:numPr>
      <w:spacing w:beforeLines="50" w:afterLines="50"/>
      <w:outlineLvl w:val="2"/>
    </w:pPr>
    <w:rPr>
      <w:rFonts w:ascii="黑体" w:hAnsi="Times New Roman" w:eastAsia="黑体" w:cs="黑体"/>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290</Words>
  <Characters>1659</Characters>
  <Lines>13</Lines>
  <Paragraphs>3</Paragraphs>
  <TotalTime>15</TotalTime>
  <ScaleCrop>false</ScaleCrop>
  <LinksUpToDate>false</LinksUpToDate>
  <CharactersWithSpaces>1946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2018-03-14T06:34:00Z</dcterms:created>
  <dc:creator>Windows 用户</dc:creator>
  <cp:lastModifiedBy>fushunshi</cp:lastModifiedBy>
  <dcterms:modified xsi:type="dcterms:W3CDTF">2024-09-03T10:10:10Z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647CF2B6278843FA915BFAC4EF9808E4</vt:lpwstr>
  </property>
</Properties>
</file>